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2124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6967230" wp14:editId="74A7724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</w:p>
    <w:p w14:paraId="19CD112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</w:p>
    <w:p w14:paraId="6B1721E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7FBA3" wp14:editId="2F4BDF3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526155" cy="885825"/>
            <wp:effectExtent l="0" t="0" r="0" b="0"/>
            <wp:wrapTight wrapText="bothSides">
              <wp:wrapPolygon edited="0">
                <wp:start x="0" y="0"/>
                <wp:lineTo x="0" y="20903"/>
                <wp:lineTo x="21472" y="20903"/>
                <wp:lineTo x="21472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92" cy="88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2F2316A" w14:textId="77777777" w:rsidR="00A209C9" w:rsidRDefault="00A209C9" w:rsidP="00636289">
      <w:pPr>
        <w:keepNext/>
        <w:widowControl w:val="0"/>
        <w:autoSpaceDE w:val="0"/>
        <w:spacing w:after="119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2DABD0BA" w:rsidR="00636289" w:rsidRDefault="00636289" w:rsidP="00636289">
      <w:pPr>
        <w:keepNext/>
        <w:widowControl w:val="0"/>
        <w:autoSpaceDE w:val="0"/>
        <w:spacing w:after="119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3733AB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6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3D8F79A3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0A60A847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della </w:t>
      </w:r>
      <w:r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 50</w:t>
      </w:r>
    </w:p>
    <w:p w14:paraId="43286E95" w14:textId="77777777" w:rsidR="00636289" w:rsidRDefault="00636289" w:rsidP="00636289">
      <w:pPr>
        <w:spacing w:line="259" w:lineRule="auto"/>
        <w:ind w:left="71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690AECD" w14:textId="77777777" w:rsidR="00636289" w:rsidRDefault="00636289" w:rsidP="00636289">
      <w:pPr>
        <w:ind w:left="5670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80E09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4ADE6671" w:rsidR="00636289" w:rsidRPr="00836C9A" w:rsidRDefault="007861BF" w:rsidP="00380E09">
            <w:pPr>
              <w:pStyle w:val="Standard"/>
              <w:spacing w:after="120" w:line="256" w:lineRule="auto"/>
              <w:jc w:val="both"/>
              <w:rPr>
                <w:rFonts w:ascii="Tahoma" w:hAnsi="Tahoma" w:cs="Tahoma"/>
                <w:b/>
                <w:bCs/>
              </w:rPr>
            </w:pPr>
            <w:r w:rsidRPr="007861BF">
              <w:rPr>
                <w:rFonts w:ascii="Tahoma" w:hAnsi="Tahoma" w:cs="Tahoma"/>
                <w:b/>
                <w:bCs/>
              </w:rPr>
              <w:t xml:space="preserve">PROCEDURA APERTA PER L’AFFIDAMENTO DEI LAVORI DI CUI AL PROGETTO </w:t>
            </w:r>
            <w:r w:rsidR="007851F8">
              <w:rPr>
                <w:rFonts w:ascii="Tahoma" w:hAnsi="Tahoma" w:cs="Tahoma"/>
                <w:b/>
                <w:bCs/>
              </w:rPr>
              <w:t>“</w:t>
            </w:r>
            <w:r w:rsidR="003733AB" w:rsidRPr="003733AB">
              <w:rPr>
                <w:rFonts w:ascii="Tahoma" w:hAnsi="Tahoma" w:cs="Tahoma"/>
                <w:b/>
                <w:bCs/>
              </w:rPr>
              <w:t>PNRR 2021-2026. M4C1-I1.1 - CUP: E18H22000000006 - DEMOLIZIONE VECCHIA ALA ASILO NIDO E COSTRUZIONE NUOVA ALA IN AMPLIAMENTO AL PLESSO ESISTENTE - FINANZIATO DALL’UNIONE EUROPEA - NEXT GENERATION EU</w:t>
            </w:r>
            <w:r w:rsidR="003733AB">
              <w:rPr>
                <w:rFonts w:ascii="Tahoma" w:hAnsi="Tahoma" w:cs="Tahoma"/>
                <w:b/>
                <w:bCs/>
              </w:rPr>
              <w:t xml:space="preserve">, </w:t>
            </w:r>
            <w:r w:rsidR="001A5EBD" w:rsidRPr="001A5EBD">
              <w:rPr>
                <w:rFonts w:ascii="Tahoma" w:hAnsi="Tahoma" w:cs="Tahoma"/>
                <w:b/>
                <w:bCs/>
              </w:rPr>
              <w:t xml:space="preserve">CIG </w:t>
            </w:r>
            <w:r w:rsidR="005D2B87" w:rsidRPr="005D2B87">
              <w:rPr>
                <w:rFonts w:ascii="Tahoma" w:hAnsi="Tahoma" w:cs="Tahoma"/>
                <w:b/>
                <w:bCs/>
              </w:rPr>
              <w:t>97605715FE</w:t>
            </w:r>
            <w:r w:rsidR="003733AB">
              <w:rPr>
                <w:rFonts w:ascii="Tahoma" w:hAnsi="Tahoma" w:cs="Tahoma"/>
                <w:b/>
                <w:bCs/>
              </w:rPr>
              <w:t>”</w:t>
            </w:r>
            <w:r w:rsidR="001A5EBD" w:rsidRPr="001A5EBD">
              <w:rPr>
                <w:rFonts w:ascii="Tahoma" w:hAnsi="Tahoma" w:cs="Tahoma"/>
                <w:b/>
                <w:bCs/>
              </w:rPr>
              <w:t>.</w:t>
            </w:r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lastRenderedPageBreak/>
        <w:t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d.l.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……………………………………………..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Titolare di ditta individuale;</w:t>
      </w:r>
    </w:p>
    <w:p w14:paraId="670A47FF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1078FCE6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socio di società di persone ……………………………………………………. così composta;</w:t>
      </w:r>
    </w:p>
    <w:p w14:paraId="0C8AAF51" w14:textId="77777777" w:rsidR="00CB2173" w:rsidRDefault="00CB2173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ﬁsica o le persone ﬁsiche cui è attribuibile la proprietà diretta o indiretta dell’ente, il titolare eﬀettivo coincide con la persona o le persone ﬁsiche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 controllo di voti suﬃcienti per esercitare un’inﬂuenza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un’inﬂuenza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eﬀettivi,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>il titolare eﬀettivo coincide con la persona o le persone ﬁsiche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lastRenderedPageBreak/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57152">
    <w:abstractNumId w:val="1"/>
  </w:num>
  <w:num w:numId="2" w16cid:durableId="125703061">
    <w:abstractNumId w:val="7"/>
  </w:num>
  <w:num w:numId="3" w16cid:durableId="965083436">
    <w:abstractNumId w:val="8"/>
  </w:num>
  <w:num w:numId="4" w16cid:durableId="94905638">
    <w:abstractNumId w:val="6"/>
  </w:num>
  <w:num w:numId="5" w16cid:durableId="2013486531">
    <w:abstractNumId w:val="4"/>
  </w:num>
  <w:num w:numId="6" w16cid:durableId="2038652820">
    <w:abstractNumId w:val="0"/>
  </w:num>
  <w:num w:numId="7" w16cid:durableId="915211713">
    <w:abstractNumId w:val="2"/>
  </w:num>
  <w:num w:numId="8" w16cid:durableId="741684439">
    <w:abstractNumId w:val="5"/>
  </w:num>
  <w:num w:numId="9" w16cid:durableId="364987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12F0B"/>
    <w:rsid w:val="000B0C0A"/>
    <w:rsid w:val="000F5CA5"/>
    <w:rsid w:val="00113D43"/>
    <w:rsid w:val="00132F8A"/>
    <w:rsid w:val="001942B4"/>
    <w:rsid w:val="00197F90"/>
    <w:rsid w:val="001A055B"/>
    <w:rsid w:val="001A5EBD"/>
    <w:rsid w:val="001F5FC4"/>
    <w:rsid w:val="00201D14"/>
    <w:rsid w:val="00221679"/>
    <w:rsid w:val="002E173E"/>
    <w:rsid w:val="002E3228"/>
    <w:rsid w:val="002E44DC"/>
    <w:rsid w:val="003224C8"/>
    <w:rsid w:val="003370F5"/>
    <w:rsid w:val="003733AB"/>
    <w:rsid w:val="003776A6"/>
    <w:rsid w:val="003F64A5"/>
    <w:rsid w:val="00412E35"/>
    <w:rsid w:val="004216F8"/>
    <w:rsid w:val="00495834"/>
    <w:rsid w:val="004C7081"/>
    <w:rsid w:val="004D5443"/>
    <w:rsid w:val="005D0F0B"/>
    <w:rsid w:val="005D2B87"/>
    <w:rsid w:val="00636289"/>
    <w:rsid w:val="00660E24"/>
    <w:rsid w:val="006B4813"/>
    <w:rsid w:val="00700FA3"/>
    <w:rsid w:val="007851F8"/>
    <w:rsid w:val="007861BF"/>
    <w:rsid w:val="00821719"/>
    <w:rsid w:val="008D6BD9"/>
    <w:rsid w:val="008E0378"/>
    <w:rsid w:val="00977B44"/>
    <w:rsid w:val="009E0042"/>
    <w:rsid w:val="009E2D74"/>
    <w:rsid w:val="00A209C9"/>
    <w:rsid w:val="00A62BC7"/>
    <w:rsid w:val="00AC59FA"/>
    <w:rsid w:val="00AD0419"/>
    <w:rsid w:val="00B06F52"/>
    <w:rsid w:val="00B43AAB"/>
    <w:rsid w:val="00BE0434"/>
    <w:rsid w:val="00BE4254"/>
    <w:rsid w:val="00BE7E54"/>
    <w:rsid w:val="00C51940"/>
    <w:rsid w:val="00C57FEF"/>
    <w:rsid w:val="00CB2173"/>
    <w:rsid w:val="00D21DE0"/>
    <w:rsid w:val="00D75D1F"/>
    <w:rsid w:val="00DB5C73"/>
    <w:rsid w:val="00E939DC"/>
    <w:rsid w:val="00EA190F"/>
    <w:rsid w:val="00EA4326"/>
    <w:rsid w:val="00ED4D18"/>
    <w:rsid w:val="00F75A51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8910</TotalTime>
  <Pages>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Burgazzi, Ramona</cp:lastModifiedBy>
  <cp:revision>39</cp:revision>
  <dcterms:created xsi:type="dcterms:W3CDTF">2022-09-01T09:13:00Z</dcterms:created>
  <dcterms:modified xsi:type="dcterms:W3CDTF">2023-04-05T08:51:00Z</dcterms:modified>
</cp:coreProperties>
</file>